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AA144" w14:textId="77777777" w:rsidR="00D673DC" w:rsidRDefault="00D673DC" w:rsidP="00D673DC">
      <w:pPr>
        <w:spacing w:line="709" w:lineRule="exact"/>
        <w:ind w:left="120"/>
        <w:rPr>
          <w:rFonts w:ascii="Bauhaus 93"/>
          <w:b/>
          <w:sz w:val="72"/>
          <w:szCs w:val="72"/>
          <w:lang w:bidi="ar-SA"/>
        </w:rPr>
      </w:pPr>
      <w:r>
        <w:rPr>
          <w:rFonts w:ascii="Bauhaus 93"/>
          <w:b/>
          <w:color w:val="FF0000"/>
          <w:sz w:val="72"/>
          <w:szCs w:val="72"/>
        </w:rPr>
        <w:t>Hemato</w:t>
      </w:r>
      <w:r>
        <w:rPr>
          <w:rFonts w:ascii="Bauhaus 93"/>
          <w:b/>
          <w:sz w:val="72"/>
          <w:szCs w:val="72"/>
        </w:rPr>
        <w:t>Logics, Inc.</w:t>
      </w:r>
    </w:p>
    <w:p w14:paraId="57199D0C" w14:textId="77777777" w:rsidR="00D673DC" w:rsidRDefault="00D673DC" w:rsidP="00D673DC">
      <w:pPr>
        <w:pStyle w:val="BodyText"/>
        <w:spacing w:before="64"/>
        <w:ind w:left="120"/>
      </w:pPr>
      <w:r>
        <w:t xml:space="preserve">3161 Elliott Avenue, Suite 200, Seattle, WA 98121 Phone: (800) 860‐0934 Fax: (206) 223‐5550 </w:t>
      </w:r>
      <w:hyperlink r:id="rId5" w:history="1">
        <w:r>
          <w:rPr>
            <w:rStyle w:val="Hyperlink"/>
            <w:color w:val="0563C1"/>
          </w:rPr>
          <w:t>www.hematologics.com</w:t>
        </w:r>
      </w:hyperlink>
    </w:p>
    <w:p w14:paraId="447C4EE4" w14:textId="77777777" w:rsidR="004C2022" w:rsidRDefault="004C2022">
      <w:pPr>
        <w:pStyle w:val="BodyText"/>
        <w:rPr>
          <w:rFonts w:ascii="Times New Roman"/>
          <w:sz w:val="20"/>
        </w:rPr>
      </w:pPr>
    </w:p>
    <w:p w14:paraId="6FEB539F" w14:textId="77777777" w:rsidR="004C2022" w:rsidRDefault="004C2022">
      <w:pPr>
        <w:pStyle w:val="BodyText"/>
        <w:rPr>
          <w:rFonts w:ascii="Times New Roman"/>
          <w:sz w:val="20"/>
        </w:rPr>
      </w:pPr>
    </w:p>
    <w:p w14:paraId="74C50CC4" w14:textId="38BF0612" w:rsidR="004C2022" w:rsidRPr="00F227AF" w:rsidRDefault="00407826" w:rsidP="00196D2E">
      <w:pPr>
        <w:spacing w:before="11"/>
        <w:ind w:left="720" w:right="1409"/>
        <w:rPr>
          <w:b/>
          <w:sz w:val="44"/>
        </w:rPr>
      </w:pPr>
      <w:r>
        <w:rPr>
          <w:b/>
          <w:sz w:val="44"/>
        </w:rPr>
        <w:t xml:space="preserve">CD33 SNP Assay Can Predict </w:t>
      </w:r>
      <w:r w:rsidRPr="00F227AF">
        <w:rPr>
          <w:b/>
          <w:sz w:val="44"/>
        </w:rPr>
        <w:t>Response to Gemtuzumab Ozogamicin (GO; Mylotarg</w:t>
      </w:r>
      <w:r w:rsidR="003114F4" w:rsidRPr="00F227AF">
        <w:rPr>
          <w:b/>
          <w:sz w:val="36"/>
          <w:szCs w:val="36"/>
          <w:vertAlign w:val="superscript"/>
        </w:rPr>
        <w:t>TM</w:t>
      </w:r>
      <w:r w:rsidRPr="00F227AF">
        <w:rPr>
          <w:b/>
          <w:sz w:val="44"/>
        </w:rPr>
        <w:t>) Treatment in AML Patients</w:t>
      </w:r>
    </w:p>
    <w:p w14:paraId="4687A7ED" w14:textId="77777777" w:rsidR="004C2022" w:rsidRPr="00F227AF" w:rsidRDefault="004C2022" w:rsidP="00196D2E">
      <w:pPr>
        <w:pStyle w:val="BodyText"/>
        <w:spacing w:before="5"/>
        <w:rPr>
          <w:b/>
          <w:sz w:val="34"/>
        </w:rPr>
      </w:pPr>
    </w:p>
    <w:p w14:paraId="5D41F827" w14:textId="4B41798A" w:rsidR="004C2022" w:rsidRPr="00F227AF" w:rsidRDefault="00407826" w:rsidP="00196D2E">
      <w:pPr>
        <w:pStyle w:val="Heading1"/>
        <w:numPr>
          <w:ilvl w:val="0"/>
          <w:numId w:val="1"/>
        </w:numPr>
        <w:tabs>
          <w:tab w:val="left" w:pos="2980"/>
          <w:tab w:val="left" w:pos="2981"/>
        </w:tabs>
        <w:ind w:left="1440"/>
      </w:pPr>
      <w:bookmarkStart w:id="0" w:name="_Hlk69907073"/>
      <w:r w:rsidRPr="00F227AF">
        <w:t>Mylotarg</w:t>
      </w:r>
      <w:r w:rsidR="003114F4" w:rsidRPr="00F227AF">
        <w:rPr>
          <w:i/>
          <w:sz w:val="22"/>
          <w:szCs w:val="22"/>
          <w:vertAlign w:val="superscript"/>
        </w:rPr>
        <w:t>TM</w:t>
      </w:r>
      <w:r w:rsidRPr="00F227AF">
        <w:rPr>
          <w:i/>
        </w:rPr>
        <w:t xml:space="preserve"> </w:t>
      </w:r>
      <w:bookmarkEnd w:id="0"/>
      <w:r w:rsidRPr="00F227AF">
        <w:t>has been FDA approved for treatment of</w:t>
      </w:r>
      <w:r w:rsidRPr="00F227AF">
        <w:rPr>
          <w:spacing w:val="-10"/>
        </w:rPr>
        <w:t xml:space="preserve"> </w:t>
      </w:r>
      <w:r w:rsidRPr="00F227AF">
        <w:t>AML.</w:t>
      </w:r>
    </w:p>
    <w:p w14:paraId="29E06FC9" w14:textId="77777777" w:rsidR="0033750A" w:rsidRPr="00F227AF" w:rsidRDefault="0033750A" w:rsidP="0033750A">
      <w:pPr>
        <w:pStyle w:val="Heading1"/>
        <w:tabs>
          <w:tab w:val="left" w:pos="2980"/>
          <w:tab w:val="left" w:pos="2981"/>
        </w:tabs>
        <w:ind w:left="1440" w:firstLine="0"/>
      </w:pPr>
    </w:p>
    <w:p w14:paraId="1DCC818C" w14:textId="7EE9CA24" w:rsidR="0033750A" w:rsidRPr="00F227AF" w:rsidRDefault="0033750A" w:rsidP="00196D2E">
      <w:pPr>
        <w:pStyle w:val="Heading1"/>
        <w:numPr>
          <w:ilvl w:val="0"/>
          <w:numId w:val="1"/>
        </w:numPr>
        <w:tabs>
          <w:tab w:val="left" w:pos="2980"/>
          <w:tab w:val="left" w:pos="2981"/>
        </w:tabs>
        <w:ind w:left="1440"/>
      </w:pPr>
      <w:r w:rsidRPr="00F227AF">
        <w:t>Recent studies have shown that approximately 49% of CD33 positive AML patients will NOT respond to Mylotarg</w:t>
      </w:r>
      <w:r w:rsidRPr="00E71B8D">
        <w:rPr>
          <w:i/>
          <w:iCs/>
          <w:vertAlign w:val="superscript"/>
        </w:rPr>
        <w:t>TM</w:t>
      </w:r>
      <w:r w:rsidRPr="00F227AF">
        <w:t>.</w:t>
      </w:r>
    </w:p>
    <w:p w14:paraId="06C82AC2" w14:textId="77777777" w:rsidR="0033750A" w:rsidRPr="00F227AF" w:rsidRDefault="0033750A" w:rsidP="0033750A">
      <w:pPr>
        <w:pStyle w:val="Heading1"/>
        <w:tabs>
          <w:tab w:val="left" w:pos="2980"/>
          <w:tab w:val="left" w:pos="2981"/>
        </w:tabs>
        <w:ind w:left="0" w:firstLine="0"/>
      </w:pPr>
    </w:p>
    <w:p w14:paraId="2CBA19CE" w14:textId="7B6E3B75" w:rsidR="004C2022" w:rsidRPr="00F227AF" w:rsidRDefault="00407826" w:rsidP="00196D2E">
      <w:pPr>
        <w:pStyle w:val="ListParagraph"/>
        <w:numPr>
          <w:ilvl w:val="0"/>
          <w:numId w:val="1"/>
        </w:numPr>
        <w:tabs>
          <w:tab w:val="left" w:pos="2980"/>
          <w:tab w:val="left" w:pos="2981"/>
        </w:tabs>
        <w:ind w:left="1440"/>
        <w:rPr>
          <w:sz w:val="28"/>
        </w:rPr>
      </w:pPr>
      <w:r w:rsidRPr="00F227AF">
        <w:rPr>
          <w:sz w:val="28"/>
        </w:rPr>
        <w:t>A single nucleotide polymorphism can predict response to</w:t>
      </w:r>
      <w:r w:rsidRPr="00F227AF">
        <w:rPr>
          <w:spacing w:val="-14"/>
          <w:sz w:val="28"/>
        </w:rPr>
        <w:t xml:space="preserve"> </w:t>
      </w:r>
      <w:r w:rsidR="003114F4" w:rsidRPr="00F227AF">
        <w:rPr>
          <w:sz w:val="28"/>
          <w:szCs w:val="28"/>
        </w:rPr>
        <w:t>Mylotarg</w:t>
      </w:r>
      <w:r w:rsidR="003114F4" w:rsidRPr="00F227AF">
        <w:rPr>
          <w:i/>
          <w:vertAlign w:val="superscript"/>
        </w:rPr>
        <w:t xml:space="preserve">TM </w:t>
      </w:r>
      <w:r w:rsidR="003114F4" w:rsidRPr="00F227AF">
        <w:rPr>
          <w:i/>
        </w:rPr>
        <w:t xml:space="preserve">. </w:t>
      </w:r>
    </w:p>
    <w:p w14:paraId="7A7CBADD" w14:textId="77777777" w:rsidR="004C2022" w:rsidRPr="00F227AF" w:rsidRDefault="004C2022" w:rsidP="00196D2E">
      <w:pPr>
        <w:pStyle w:val="BodyText"/>
        <w:rPr>
          <w:sz w:val="28"/>
        </w:rPr>
      </w:pPr>
    </w:p>
    <w:p w14:paraId="1E19B7FC" w14:textId="4A5D3106" w:rsidR="004C2022" w:rsidRPr="00F227AF" w:rsidRDefault="00407826" w:rsidP="00196D2E">
      <w:pPr>
        <w:pStyle w:val="ListParagraph"/>
        <w:numPr>
          <w:ilvl w:val="0"/>
          <w:numId w:val="1"/>
        </w:numPr>
        <w:tabs>
          <w:tab w:val="left" w:pos="2980"/>
          <w:tab w:val="left" w:pos="2981"/>
        </w:tabs>
        <w:ind w:left="1440" w:right="613"/>
        <w:rPr>
          <w:sz w:val="28"/>
        </w:rPr>
      </w:pPr>
      <w:r w:rsidRPr="00F227AF">
        <w:rPr>
          <w:rFonts w:ascii="Bauhaus 93" w:hAnsi="Bauhaus 93"/>
          <w:color w:val="FF0000"/>
          <w:sz w:val="28"/>
        </w:rPr>
        <w:t>Hemato</w:t>
      </w:r>
      <w:r w:rsidRPr="00F227AF">
        <w:rPr>
          <w:rFonts w:ascii="Bauhaus 93" w:hAnsi="Bauhaus 93"/>
          <w:sz w:val="28"/>
        </w:rPr>
        <w:t xml:space="preserve">Logics </w:t>
      </w:r>
      <w:r w:rsidRPr="00F227AF">
        <w:rPr>
          <w:sz w:val="28"/>
        </w:rPr>
        <w:t>has developed a molecular diagnostic test to</w:t>
      </w:r>
      <w:r w:rsidRPr="00F227AF">
        <w:rPr>
          <w:spacing w:val="-27"/>
          <w:sz w:val="28"/>
        </w:rPr>
        <w:t xml:space="preserve"> </w:t>
      </w:r>
      <w:r w:rsidRPr="00F227AF">
        <w:rPr>
          <w:sz w:val="28"/>
        </w:rPr>
        <w:t>identify patients who will benefit from treatment with</w:t>
      </w:r>
      <w:r w:rsidRPr="00F227AF">
        <w:rPr>
          <w:spacing w:val="-9"/>
          <w:sz w:val="28"/>
        </w:rPr>
        <w:t xml:space="preserve"> </w:t>
      </w:r>
      <w:r w:rsidR="003114F4" w:rsidRPr="00F227AF">
        <w:rPr>
          <w:sz w:val="28"/>
          <w:szCs w:val="28"/>
        </w:rPr>
        <w:t>Mylotarg</w:t>
      </w:r>
      <w:r w:rsidR="003114F4" w:rsidRPr="00F227AF">
        <w:rPr>
          <w:i/>
          <w:vertAlign w:val="superscript"/>
        </w:rPr>
        <w:t>TM</w:t>
      </w:r>
      <w:r w:rsidRPr="00F227AF">
        <w:rPr>
          <w:sz w:val="28"/>
        </w:rPr>
        <w:t>.</w:t>
      </w:r>
    </w:p>
    <w:p w14:paraId="5BB3F039" w14:textId="77777777" w:rsidR="004C2022" w:rsidRPr="00F227AF" w:rsidRDefault="004C2022" w:rsidP="00196D2E">
      <w:pPr>
        <w:pStyle w:val="BodyText"/>
        <w:spacing w:before="11"/>
        <w:rPr>
          <w:sz w:val="27"/>
        </w:rPr>
      </w:pPr>
    </w:p>
    <w:p w14:paraId="2113A4F5" w14:textId="7A8C035E" w:rsidR="004C2022" w:rsidRPr="00F227AF" w:rsidRDefault="00407826" w:rsidP="00196D2E">
      <w:pPr>
        <w:pStyle w:val="ListParagraph"/>
        <w:numPr>
          <w:ilvl w:val="0"/>
          <w:numId w:val="1"/>
        </w:numPr>
        <w:tabs>
          <w:tab w:val="left" w:pos="2980"/>
          <w:tab w:val="left" w:pos="2981"/>
        </w:tabs>
        <w:ind w:left="1440" w:right="103"/>
        <w:rPr>
          <w:sz w:val="28"/>
        </w:rPr>
      </w:pPr>
      <w:r w:rsidRPr="00F227AF">
        <w:rPr>
          <w:b/>
          <w:i/>
          <w:sz w:val="28"/>
        </w:rPr>
        <w:t xml:space="preserve">CD33 SNP sequencing analysis </w:t>
      </w:r>
      <w:r w:rsidRPr="00F227AF">
        <w:rPr>
          <w:sz w:val="28"/>
        </w:rPr>
        <w:t xml:space="preserve">will determine if the patient has a T-allele (non-responsive to </w:t>
      </w:r>
      <w:r w:rsidR="003114F4" w:rsidRPr="00F227AF">
        <w:rPr>
          <w:sz w:val="28"/>
          <w:szCs w:val="28"/>
        </w:rPr>
        <w:t>Mylotarg</w:t>
      </w:r>
      <w:r w:rsidR="003114F4" w:rsidRPr="00F227AF">
        <w:rPr>
          <w:i/>
          <w:vertAlign w:val="superscript"/>
        </w:rPr>
        <w:t>TM</w:t>
      </w:r>
      <w:r w:rsidRPr="00F227AF">
        <w:rPr>
          <w:sz w:val="28"/>
        </w:rPr>
        <w:t xml:space="preserve">) or a CC-genotype (responsive to </w:t>
      </w:r>
      <w:r w:rsidR="003114F4" w:rsidRPr="00F227AF">
        <w:rPr>
          <w:sz w:val="28"/>
          <w:szCs w:val="28"/>
        </w:rPr>
        <w:t>Mylotarg</w:t>
      </w:r>
      <w:r w:rsidR="003114F4" w:rsidRPr="00F227AF">
        <w:rPr>
          <w:i/>
          <w:vertAlign w:val="superscript"/>
        </w:rPr>
        <w:t>TM</w:t>
      </w:r>
      <w:r w:rsidRPr="00F227AF">
        <w:rPr>
          <w:sz w:val="28"/>
        </w:rPr>
        <w:t>).</w:t>
      </w:r>
    </w:p>
    <w:p w14:paraId="09AC1436" w14:textId="77777777" w:rsidR="004C2022" w:rsidRPr="00F227AF" w:rsidRDefault="004C2022" w:rsidP="00196D2E">
      <w:pPr>
        <w:pStyle w:val="BodyText"/>
        <w:spacing w:before="2"/>
        <w:rPr>
          <w:sz w:val="37"/>
        </w:rPr>
      </w:pPr>
    </w:p>
    <w:p w14:paraId="299020DA" w14:textId="77777777" w:rsidR="004C2022" w:rsidRPr="00F227AF" w:rsidRDefault="00407826" w:rsidP="00196D2E">
      <w:pPr>
        <w:ind w:left="830"/>
        <w:jc w:val="center"/>
        <w:rPr>
          <w:b/>
          <w:sz w:val="36"/>
        </w:rPr>
      </w:pPr>
      <w:r w:rsidRPr="00F227AF">
        <w:rPr>
          <w:b/>
          <w:color w:val="FF0000"/>
          <w:sz w:val="36"/>
        </w:rPr>
        <w:t>Sample Molecular Analysis</w:t>
      </w:r>
      <w:r w:rsidRPr="00F227AF">
        <w:rPr>
          <w:b/>
          <w:color w:val="FF0000"/>
          <w:spacing w:val="-10"/>
          <w:sz w:val="36"/>
        </w:rPr>
        <w:t xml:space="preserve"> </w:t>
      </w:r>
      <w:r w:rsidRPr="00F227AF">
        <w:rPr>
          <w:b/>
          <w:color w:val="FF0000"/>
          <w:sz w:val="36"/>
        </w:rPr>
        <w:t>Report</w:t>
      </w:r>
    </w:p>
    <w:p w14:paraId="19491EBE" w14:textId="77777777" w:rsidR="004C2022" w:rsidRPr="00F227AF" w:rsidRDefault="00407826" w:rsidP="00196D2E">
      <w:pPr>
        <w:spacing w:before="158" w:line="259" w:lineRule="auto"/>
        <w:ind w:left="720" w:right="94"/>
        <w:rPr>
          <w:sz w:val="24"/>
        </w:rPr>
      </w:pPr>
      <w:r w:rsidRPr="00F227AF">
        <w:rPr>
          <w:b/>
          <w:sz w:val="24"/>
        </w:rPr>
        <w:t xml:space="preserve">Results/Conclusions: </w:t>
      </w:r>
      <w:r w:rsidRPr="00F227AF">
        <w:rPr>
          <w:sz w:val="24"/>
        </w:rPr>
        <w:t xml:space="preserve">The specimen tested </w:t>
      </w:r>
      <w:r w:rsidRPr="00F227AF">
        <w:rPr>
          <w:b/>
          <w:i/>
          <w:sz w:val="24"/>
        </w:rPr>
        <w:t xml:space="preserve">positive </w:t>
      </w:r>
      <w:r w:rsidRPr="00F227AF">
        <w:rPr>
          <w:sz w:val="24"/>
        </w:rPr>
        <w:t>for the presence of a C&gt;T (p.A14V) single nucleotide polymorphism (rs12459419) in Exon 2 of CD33 (</w:t>
      </w:r>
      <w:r w:rsidRPr="00F227AF">
        <w:rPr>
          <w:b/>
          <w:sz w:val="24"/>
        </w:rPr>
        <w:t>genotype CT</w:t>
      </w:r>
      <w:r w:rsidRPr="00F227AF">
        <w:rPr>
          <w:sz w:val="24"/>
        </w:rPr>
        <w:t>)</w:t>
      </w:r>
    </w:p>
    <w:p w14:paraId="252D26CF" w14:textId="27B926F7" w:rsidR="004C2022" w:rsidRPr="00F227AF" w:rsidRDefault="00407826" w:rsidP="00196D2E">
      <w:pPr>
        <w:spacing w:before="159" w:line="256" w:lineRule="auto"/>
        <w:ind w:left="720" w:right="865"/>
        <w:rPr>
          <w:i/>
          <w:sz w:val="16"/>
        </w:rPr>
      </w:pPr>
      <w:r w:rsidRPr="00F227AF">
        <w:rPr>
          <w:i/>
          <w:sz w:val="24"/>
        </w:rPr>
        <w:t xml:space="preserve">Presence of the T-alleles has recently been correlated to resistance to treatment with </w:t>
      </w:r>
      <w:r w:rsidR="00D673DC" w:rsidRPr="00F227AF">
        <w:rPr>
          <w:i/>
          <w:sz w:val="24"/>
        </w:rPr>
        <w:t>G</w:t>
      </w:r>
      <w:r w:rsidRPr="00F227AF">
        <w:rPr>
          <w:i/>
          <w:sz w:val="24"/>
        </w:rPr>
        <w:t xml:space="preserve">emtuzumab </w:t>
      </w:r>
      <w:r w:rsidR="00D673DC" w:rsidRPr="00F227AF">
        <w:rPr>
          <w:i/>
          <w:sz w:val="24"/>
        </w:rPr>
        <w:t>O</w:t>
      </w:r>
      <w:r w:rsidRPr="00F227AF">
        <w:rPr>
          <w:i/>
          <w:sz w:val="24"/>
        </w:rPr>
        <w:t xml:space="preserve">zogamicin (GO; </w:t>
      </w:r>
      <w:r w:rsidR="003114F4" w:rsidRPr="00F227AF">
        <w:rPr>
          <w:i/>
          <w:iCs/>
          <w:sz w:val="28"/>
          <w:szCs w:val="28"/>
        </w:rPr>
        <w:t>Mylotarg</w:t>
      </w:r>
      <w:r w:rsidR="003114F4" w:rsidRPr="00F227AF">
        <w:rPr>
          <w:i/>
          <w:vertAlign w:val="superscript"/>
        </w:rPr>
        <w:t>TM</w:t>
      </w:r>
      <w:r w:rsidRPr="00F227AF">
        <w:rPr>
          <w:i/>
          <w:sz w:val="24"/>
        </w:rPr>
        <w:t>).</w:t>
      </w:r>
      <w:r w:rsidRPr="00F227AF">
        <w:rPr>
          <w:i/>
          <w:position w:val="8"/>
          <w:sz w:val="16"/>
        </w:rPr>
        <w:t>1</w:t>
      </w:r>
    </w:p>
    <w:p w14:paraId="50368720" w14:textId="1A0E44AB" w:rsidR="004C2022" w:rsidRPr="00F227AF" w:rsidRDefault="00407826" w:rsidP="00196D2E">
      <w:pPr>
        <w:spacing w:before="164" w:line="259" w:lineRule="auto"/>
        <w:ind w:left="720" w:right="168"/>
        <w:rPr>
          <w:sz w:val="16"/>
        </w:rPr>
      </w:pPr>
      <w:r w:rsidRPr="00F227AF">
        <w:rPr>
          <w:sz w:val="24"/>
        </w:rPr>
        <w:t xml:space="preserve">The presence of CD33 non-synonymous coding single nucleotide polymorphism rs12459419 (T-allele; CT/ TT genotype) has been associated with expression of alternatively spliced variant of CD33. In contrast, a CC-genotype for CD33 rs12459419 has been correlated with full length expression of CD33. Patients with a CC-genotype may benefit from addition of </w:t>
      </w:r>
      <w:r w:rsidR="00D673DC" w:rsidRPr="00F227AF">
        <w:rPr>
          <w:sz w:val="24"/>
        </w:rPr>
        <w:t>G</w:t>
      </w:r>
      <w:r w:rsidRPr="00F227AF">
        <w:rPr>
          <w:sz w:val="24"/>
        </w:rPr>
        <w:t>emtuzumab Ozogamicin (</w:t>
      </w:r>
      <w:r w:rsidR="003114F4" w:rsidRPr="00F227AF">
        <w:rPr>
          <w:sz w:val="28"/>
          <w:szCs w:val="28"/>
        </w:rPr>
        <w:t>Mylotarg</w:t>
      </w:r>
      <w:r w:rsidR="003114F4" w:rsidRPr="00F227AF">
        <w:rPr>
          <w:i/>
          <w:vertAlign w:val="superscript"/>
        </w:rPr>
        <w:t>TM</w:t>
      </w:r>
      <w:r w:rsidRPr="00F227AF">
        <w:rPr>
          <w:sz w:val="24"/>
        </w:rPr>
        <w:t xml:space="preserve">) to chemotherapy. </w:t>
      </w:r>
      <w:r w:rsidRPr="00F227AF">
        <w:rPr>
          <w:position w:val="8"/>
          <w:sz w:val="16"/>
        </w:rPr>
        <w:t>1-4</w:t>
      </w:r>
    </w:p>
    <w:p w14:paraId="56EAABBE" w14:textId="77777777" w:rsidR="004C2022" w:rsidRPr="00F227AF" w:rsidRDefault="004C2022" w:rsidP="00196D2E">
      <w:pPr>
        <w:pStyle w:val="BodyText"/>
        <w:rPr>
          <w:sz w:val="26"/>
        </w:rPr>
      </w:pPr>
    </w:p>
    <w:p w14:paraId="03CB7F0E" w14:textId="77777777" w:rsidR="004C2022" w:rsidRPr="00F227AF" w:rsidRDefault="004C2022" w:rsidP="00196D2E">
      <w:pPr>
        <w:pStyle w:val="BodyText"/>
        <w:spacing w:before="6"/>
        <w:rPr>
          <w:sz w:val="25"/>
        </w:rPr>
      </w:pPr>
    </w:p>
    <w:p w14:paraId="30D5E632" w14:textId="77777777" w:rsidR="004C2022" w:rsidRPr="00F227AF" w:rsidRDefault="00407826" w:rsidP="00196D2E">
      <w:pPr>
        <w:spacing w:before="1"/>
        <w:ind w:left="720"/>
        <w:rPr>
          <w:b/>
          <w:sz w:val="16"/>
        </w:rPr>
      </w:pPr>
      <w:r w:rsidRPr="00F227AF">
        <w:rPr>
          <w:b/>
          <w:sz w:val="16"/>
        </w:rPr>
        <w:t>References:</w:t>
      </w:r>
    </w:p>
    <w:p w14:paraId="18ECE927" w14:textId="77777777" w:rsidR="004C2022" w:rsidRPr="00F227AF" w:rsidRDefault="004C2022" w:rsidP="00196D2E">
      <w:pPr>
        <w:pStyle w:val="BodyText"/>
        <w:spacing w:before="8"/>
        <w:rPr>
          <w:b/>
          <w:sz w:val="14"/>
        </w:rPr>
      </w:pPr>
    </w:p>
    <w:p w14:paraId="53B9409A" w14:textId="77777777" w:rsidR="004C2022" w:rsidRPr="00F227AF" w:rsidRDefault="00407826" w:rsidP="00196D2E">
      <w:pPr>
        <w:pStyle w:val="BodyText"/>
        <w:ind w:left="720"/>
      </w:pPr>
      <w:r w:rsidRPr="00F227AF">
        <w:t>1 Lamba, JK.et al. Leukemia 2009. 23:402-404</w:t>
      </w:r>
    </w:p>
    <w:p w14:paraId="04F04012" w14:textId="77777777" w:rsidR="004C2022" w:rsidRPr="00F227AF" w:rsidRDefault="00407826" w:rsidP="00196D2E">
      <w:pPr>
        <w:pStyle w:val="BodyText"/>
        <w:spacing w:before="16" w:line="256" w:lineRule="auto"/>
        <w:ind w:left="720" w:right="5357"/>
      </w:pPr>
      <w:r w:rsidRPr="00F227AF">
        <w:t xml:space="preserve">2.Mortland L et al. </w:t>
      </w:r>
      <w:proofErr w:type="spellStart"/>
      <w:r w:rsidRPr="00F227AF">
        <w:t>Clincial</w:t>
      </w:r>
      <w:proofErr w:type="spellEnd"/>
      <w:r w:rsidRPr="00F227AF">
        <w:t xml:space="preserve"> Cancer Res 2013 19:1620-1627 3.Pollard JA et al Blood 2012 119:3705-3711</w:t>
      </w:r>
    </w:p>
    <w:p w14:paraId="0FD6AA24" w14:textId="77777777" w:rsidR="004C2022" w:rsidRDefault="00407826" w:rsidP="00196D2E">
      <w:pPr>
        <w:pStyle w:val="BodyText"/>
        <w:spacing w:before="2"/>
        <w:ind w:left="720"/>
      </w:pPr>
      <w:r w:rsidRPr="00F227AF">
        <w:t>4. Burnett AK et al J Clin Oncol. 2011;29:369-377</w:t>
      </w:r>
    </w:p>
    <w:p w14:paraId="3949D203" w14:textId="77777777" w:rsidR="004C2022" w:rsidRDefault="004C2022" w:rsidP="00196D2E">
      <w:pPr>
        <w:pStyle w:val="BodyText"/>
      </w:pPr>
    </w:p>
    <w:p w14:paraId="600A9A00" w14:textId="77777777" w:rsidR="004C2022" w:rsidRDefault="004C2022" w:rsidP="00196D2E">
      <w:pPr>
        <w:pStyle w:val="BodyText"/>
      </w:pPr>
    </w:p>
    <w:p w14:paraId="0A9D0E60" w14:textId="77777777" w:rsidR="00D673DC" w:rsidRDefault="00D673DC" w:rsidP="00196D2E">
      <w:pPr>
        <w:spacing w:before="132"/>
        <w:ind w:left="3190"/>
        <w:rPr>
          <w:rFonts w:ascii="Bauhaus 93" w:hAnsi="Bauhaus 93"/>
          <w:b/>
          <w:color w:val="FF0000"/>
          <w:sz w:val="28"/>
        </w:rPr>
      </w:pPr>
    </w:p>
    <w:p w14:paraId="11C2D4D5" w14:textId="0CAAAC34" w:rsidR="004C2022" w:rsidRDefault="00407826" w:rsidP="00196D2E">
      <w:pPr>
        <w:spacing w:before="132"/>
        <w:ind w:left="3190"/>
        <w:rPr>
          <w:rFonts w:ascii="Bauhaus 93" w:hAnsi="Bauhaus 93"/>
          <w:b/>
          <w:sz w:val="28"/>
        </w:rPr>
      </w:pPr>
      <w:r>
        <w:rPr>
          <w:rFonts w:ascii="Bauhaus 93" w:hAnsi="Bauhaus 93"/>
          <w:b/>
          <w:color w:val="FF0000"/>
          <w:sz w:val="28"/>
        </w:rPr>
        <w:t>Best for Your Patient—Best for You</w:t>
      </w:r>
    </w:p>
    <w:p w14:paraId="7A6BB941" w14:textId="77777777" w:rsidR="004C2022" w:rsidRDefault="004C2022">
      <w:pPr>
        <w:rPr>
          <w:rFonts w:ascii="Bauhaus 93" w:hAnsi="Bauhaus 93"/>
          <w:sz w:val="28"/>
        </w:rPr>
        <w:sectPr w:rsidR="004C2022" w:rsidSect="00196D2E">
          <w:type w:val="continuous"/>
          <w:pgSz w:w="12240" w:h="15840"/>
          <w:pgMar w:top="288" w:right="432" w:bottom="288" w:left="432" w:header="720" w:footer="720" w:gutter="0"/>
          <w:cols w:space="720"/>
          <w:docGrid w:linePitch="299"/>
        </w:sectPr>
      </w:pPr>
    </w:p>
    <w:p w14:paraId="11AEF691" w14:textId="77777777" w:rsidR="004C2022" w:rsidRDefault="00407826">
      <w:pPr>
        <w:pStyle w:val="Heading1"/>
        <w:spacing w:before="22"/>
        <w:ind w:left="1384" w:firstLine="14"/>
      </w:pPr>
      <w:r>
        <w:lastRenderedPageBreak/>
        <w:t>Homozygous C&gt;C allele allows the use of Gemtuzumab Ozogamicin (GO;</w:t>
      </w:r>
    </w:p>
    <w:p w14:paraId="0035C736" w14:textId="47C79504" w:rsidR="004C2022" w:rsidRDefault="00407826">
      <w:pPr>
        <w:spacing w:before="28" w:line="256" w:lineRule="auto"/>
        <w:ind w:left="2757" w:right="1747" w:hanging="1373"/>
        <w:rPr>
          <w:sz w:val="28"/>
        </w:rPr>
      </w:pPr>
      <w:r w:rsidRPr="003114F4">
        <w:rPr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 wp14:anchorId="5DBC55B6" wp14:editId="1D31115E">
            <wp:simplePos x="0" y="0"/>
            <wp:positionH relativeFrom="page">
              <wp:posOffset>492580</wp:posOffset>
            </wp:positionH>
            <wp:positionV relativeFrom="paragraph">
              <wp:posOffset>528833</wp:posOffset>
            </wp:positionV>
            <wp:extent cx="6858180" cy="690943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180" cy="6909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14F4" w:rsidRPr="003114F4">
        <w:rPr>
          <w:sz w:val="28"/>
          <w:szCs w:val="28"/>
        </w:rPr>
        <w:t xml:space="preserve"> Mylotarg</w:t>
      </w:r>
      <w:r w:rsidR="003114F4" w:rsidRPr="003114F4">
        <w:rPr>
          <w:i/>
          <w:vertAlign w:val="superscript"/>
        </w:rPr>
        <w:t>TM</w:t>
      </w:r>
      <w:r>
        <w:rPr>
          <w:sz w:val="28"/>
        </w:rPr>
        <w:t>) as an option for treatment of AML, while heterozygous C&gt;T or homozygous T&gt;T patients predicts lack of response.</w:t>
      </w:r>
    </w:p>
    <w:p w14:paraId="2A280E61" w14:textId="77777777" w:rsidR="004C2022" w:rsidRDefault="00407826">
      <w:pPr>
        <w:pStyle w:val="BodyText"/>
        <w:spacing w:before="77" w:line="259" w:lineRule="auto"/>
        <w:ind w:left="100" w:right="1366"/>
        <w:jc w:val="both"/>
      </w:pPr>
      <w:r>
        <w:rPr>
          <w:color w:val="636363"/>
        </w:rPr>
        <w:t xml:space="preserve">Lamba, J. K., Chauhan, L., Shin, M., Loken, M. R., Pollard, J. A., Wang, Y. C., S. Meshinchi, S. (2017). CD33 splicing polymorphism determines gemtuzumab ozogamicin response in de novo acute myeloid leukemia: Report from randomized phase III children’s oncology group trial AAML0531. </w:t>
      </w:r>
      <w:r>
        <w:rPr>
          <w:i/>
          <w:color w:val="636363"/>
        </w:rPr>
        <w:t>Journal of Clinical Oncology</w:t>
      </w:r>
      <w:r>
        <w:rPr>
          <w:color w:val="636363"/>
        </w:rPr>
        <w:t xml:space="preserve">, </w:t>
      </w:r>
      <w:r>
        <w:rPr>
          <w:i/>
          <w:color w:val="636363"/>
        </w:rPr>
        <w:t>35</w:t>
      </w:r>
      <w:r>
        <w:rPr>
          <w:color w:val="636363"/>
        </w:rPr>
        <w:t xml:space="preserve">(23), 674-2682. DOI: </w:t>
      </w:r>
      <w:r>
        <w:rPr>
          <w:color w:val="E98521"/>
        </w:rPr>
        <w:t>10.1200/JCO.2016.71.251</w:t>
      </w:r>
    </w:p>
    <w:sectPr w:rsidR="004C2022">
      <w:pgSz w:w="12240" w:h="15840"/>
      <w:pgMar w:top="1420" w:right="2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25380"/>
    <w:multiLevelType w:val="hybridMultilevel"/>
    <w:tmpl w:val="52A61E86"/>
    <w:lvl w:ilvl="0" w:tplc="5530679C">
      <w:numFmt w:val="bullet"/>
      <w:lvlText w:val=""/>
      <w:lvlJc w:val="left"/>
      <w:pPr>
        <w:ind w:left="298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6D3AB2F8">
      <w:numFmt w:val="bullet"/>
      <w:lvlText w:val="•"/>
      <w:lvlJc w:val="left"/>
      <w:pPr>
        <w:ind w:left="3820" w:hanging="360"/>
      </w:pPr>
      <w:rPr>
        <w:rFonts w:hint="default"/>
        <w:lang w:val="en-US" w:eastAsia="en-US" w:bidi="en-US"/>
      </w:rPr>
    </w:lvl>
    <w:lvl w:ilvl="2" w:tplc="7DB052E8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en-US"/>
      </w:rPr>
    </w:lvl>
    <w:lvl w:ilvl="3" w:tplc="E7DA3FC4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en-US"/>
      </w:rPr>
    </w:lvl>
    <w:lvl w:ilvl="4" w:tplc="BB2AB544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en-US"/>
      </w:rPr>
    </w:lvl>
    <w:lvl w:ilvl="5" w:tplc="9A7AB3E4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en-US"/>
      </w:rPr>
    </w:lvl>
    <w:lvl w:ilvl="6" w:tplc="C2E460E0">
      <w:numFmt w:val="bullet"/>
      <w:lvlText w:val="•"/>
      <w:lvlJc w:val="left"/>
      <w:pPr>
        <w:ind w:left="8020" w:hanging="360"/>
      </w:pPr>
      <w:rPr>
        <w:rFonts w:hint="default"/>
        <w:lang w:val="en-US" w:eastAsia="en-US" w:bidi="en-US"/>
      </w:rPr>
    </w:lvl>
    <w:lvl w:ilvl="7" w:tplc="E79E49A4">
      <w:numFmt w:val="bullet"/>
      <w:lvlText w:val="•"/>
      <w:lvlJc w:val="left"/>
      <w:pPr>
        <w:ind w:left="8860" w:hanging="360"/>
      </w:pPr>
      <w:rPr>
        <w:rFonts w:hint="default"/>
        <w:lang w:val="en-US" w:eastAsia="en-US" w:bidi="en-US"/>
      </w:rPr>
    </w:lvl>
    <w:lvl w:ilvl="8" w:tplc="A8869258">
      <w:numFmt w:val="bullet"/>
      <w:lvlText w:val="•"/>
      <w:lvlJc w:val="left"/>
      <w:pPr>
        <w:ind w:left="970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22"/>
    <w:rsid w:val="00111D52"/>
    <w:rsid w:val="00196D2E"/>
    <w:rsid w:val="003114F4"/>
    <w:rsid w:val="0033750A"/>
    <w:rsid w:val="00407826"/>
    <w:rsid w:val="004C2022"/>
    <w:rsid w:val="005F05CE"/>
    <w:rsid w:val="00C14C41"/>
    <w:rsid w:val="00D673DC"/>
    <w:rsid w:val="00E71B8D"/>
    <w:rsid w:val="00F227AF"/>
    <w:rsid w:val="00F2605F"/>
    <w:rsid w:val="00F507EE"/>
    <w:rsid w:val="00FB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AC44B"/>
  <w15:docId w15:val="{5A1C26FB-73F5-4B9C-98EF-BD8FD9A3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2980" w:hanging="36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298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D67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0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hematologic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</dc:creator>
  <cp:lastModifiedBy>Jacey Bochner</cp:lastModifiedBy>
  <cp:revision>2</cp:revision>
  <dcterms:created xsi:type="dcterms:W3CDTF">2021-10-18T23:30:00Z</dcterms:created>
  <dcterms:modified xsi:type="dcterms:W3CDTF">2021-10-18T23:30:00Z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2019-04-08T00:00:00Z</vt:filetime>
  </property>
</Properties>
</file>