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E665" w14:textId="77777777" w:rsidR="00BA0633" w:rsidRPr="00545014" w:rsidRDefault="00BA0633" w:rsidP="00BA0633">
      <w:pPr>
        <w:spacing w:line="709" w:lineRule="exact"/>
        <w:ind w:left="120"/>
        <w:rPr>
          <w:rFonts w:ascii="Bauhaus 93"/>
          <w:b/>
          <w:sz w:val="56"/>
          <w:szCs w:val="56"/>
        </w:rPr>
      </w:pPr>
      <w:r w:rsidRPr="00545014">
        <w:rPr>
          <w:rFonts w:ascii="Bauhaus 93"/>
          <w:b/>
          <w:color w:val="FF0000"/>
          <w:sz w:val="56"/>
          <w:szCs w:val="56"/>
        </w:rPr>
        <w:t>Hemato</w:t>
      </w:r>
      <w:r w:rsidRPr="00545014">
        <w:rPr>
          <w:rFonts w:ascii="Bauhaus 93"/>
          <w:b/>
          <w:sz w:val="56"/>
          <w:szCs w:val="56"/>
        </w:rPr>
        <w:t>Logics, Inc.</w:t>
      </w:r>
    </w:p>
    <w:p w14:paraId="170C65E5" w14:textId="77777777" w:rsidR="00BA0633" w:rsidRDefault="00BA0633" w:rsidP="004C51F2">
      <w:pPr>
        <w:pStyle w:val="BodyText"/>
        <w:ind w:left="120"/>
      </w:pPr>
      <w:r>
        <w:t xml:space="preserve">3161 Elliott Avenue, Suite 200, Seattle, WA 98121 Phone: (800) 860‐0934 Fax: (206) 223‐5550 </w:t>
      </w:r>
      <w:hyperlink r:id="rId4">
        <w:r>
          <w:rPr>
            <w:color w:val="0563C1"/>
            <w:u w:val="single" w:color="0563C1"/>
          </w:rPr>
          <w:t>www.hematologics.com</w:t>
        </w:r>
      </w:hyperlink>
    </w:p>
    <w:p w14:paraId="1E7D3DBD" w14:textId="4F16A19F" w:rsidR="00AD6184" w:rsidRPr="004C51F2" w:rsidRDefault="00AD6184" w:rsidP="004C51F2">
      <w:pPr>
        <w:jc w:val="center"/>
        <w:rPr>
          <w:rFonts w:cstheme="minorHAnsi"/>
          <w:b/>
          <w:sz w:val="36"/>
          <w:szCs w:val="36"/>
        </w:rPr>
      </w:pPr>
      <w:r w:rsidRPr="004C51F2">
        <w:rPr>
          <w:rFonts w:cstheme="minorHAnsi"/>
          <w:b/>
          <w:sz w:val="36"/>
          <w:szCs w:val="36"/>
        </w:rPr>
        <w:t xml:space="preserve">The </w:t>
      </w:r>
      <w:r w:rsidRPr="004C51F2">
        <w:rPr>
          <w:rFonts w:ascii="Bauhaus 93" w:hAnsi="Bauhaus 93" w:cstheme="minorHAnsi"/>
          <w:b/>
          <w:color w:val="FF0000"/>
          <w:sz w:val="36"/>
          <w:szCs w:val="36"/>
        </w:rPr>
        <w:t>Hemato</w:t>
      </w:r>
      <w:r w:rsidRPr="004C51F2">
        <w:rPr>
          <w:rFonts w:ascii="Bauhaus 93" w:hAnsi="Bauhaus 93" w:cstheme="minorHAnsi"/>
          <w:b/>
          <w:sz w:val="36"/>
          <w:szCs w:val="36"/>
        </w:rPr>
        <w:t xml:space="preserve">Logics </w:t>
      </w:r>
      <w:r w:rsidRPr="004C51F2">
        <w:rPr>
          <w:rFonts w:cstheme="minorHAnsi"/>
          <w:b/>
          <w:sz w:val="36"/>
          <w:szCs w:val="36"/>
        </w:rPr>
        <w:t>Difference</w:t>
      </w:r>
    </w:p>
    <w:p w14:paraId="45B64876" w14:textId="3927C874" w:rsidR="00AD6184" w:rsidRPr="00421D86" w:rsidRDefault="008E21BD" w:rsidP="00AD6184">
      <w:pPr>
        <w:spacing w:after="120"/>
        <w:rPr>
          <w:rFonts w:cstheme="minorHAnsi"/>
          <w:sz w:val="20"/>
          <w:szCs w:val="20"/>
        </w:rPr>
      </w:pPr>
      <w:r w:rsidRPr="004A691A">
        <w:rPr>
          <w:rFonts w:ascii="Symbol" w:hAnsi="Symbol"/>
          <w:b/>
          <w:bCs/>
          <w:iCs/>
          <w:color w:val="FF0000"/>
          <w:sz w:val="20"/>
          <w:szCs w:val="20"/>
        </w:rPr>
        <w:t></w:t>
      </w:r>
      <w:r w:rsidRPr="004A691A">
        <w:rPr>
          <w:b/>
          <w:bCs/>
          <w:iCs/>
          <w:color w:val="FF0000"/>
          <w:sz w:val="20"/>
          <w:szCs w:val="20"/>
        </w:rPr>
        <w:t>N:</w:t>
      </w:r>
      <w:r w:rsidR="00545014">
        <w:rPr>
          <w:rFonts w:cstheme="minorHAnsi"/>
          <w:b/>
          <w:bCs/>
          <w:iCs/>
          <w:color w:val="FF0000"/>
          <w:sz w:val="20"/>
          <w:szCs w:val="20"/>
        </w:rPr>
        <w:t>™</w:t>
      </w:r>
      <w:r>
        <w:rPr>
          <w:b/>
          <w:bCs/>
          <w:iCs/>
          <w:color w:val="FF0000"/>
          <w:sz w:val="20"/>
          <w:szCs w:val="20"/>
        </w:rPr>
        <w:t xml:space="preserve"> (</w:t>
      </w:r>
      <w:r w:rsidR="00AD6184" w:rsidRPr="008E21BD">
        <w:rPr>
          <w:rFonts w:cstheme="minorHAnsi"/>
          <w:bCs/>
          <w:color w:val="FF0000"/>
          <w:sz w:val="20"/>
          <w:szCs w:val="20"/>
        </w:rPr>
        <w:t>Difference from Normal</w:t>
      </w:r>
      <w:r>
        <w:rPr>
          <w:rFonts w:cstheme="minorHAnsi"/>
          <w:b/>
          <w:color w:val="FF0000"/>
          <w:sz w:val="20"/>
          <w:szCs w:val="20"/>
        </w:rPr>
        <w:t>)</w:t>
      </w:r>
      <w:r w:rsidR="00AD6184" w:rsidRPr="00421D86">
        <w:rPr>
          <w:rFonts w:cstheme="minorHAnsi"/>
          <w:b/>
          <w:color w:val="FF0000"/>
          <w:sz w:val="20"/>
          <w:szCs w:val="20"/>
        </w:rPr>
        <w:t xml:space="preserve"> Flow Cytometry </w:t>
      </w:r>
      <w:r w:rsidR="00AD6184" w:rsidRPr="00421D86">
        <w:rPr>
          <w:rFonts w:cstheme="minorHAnsi"/>
          <w:sz w:val="20"/>
          <w:szCs w:val="20"/>
        </w:rPr>
        <w:t xml:space="preserve">not only answers the question whether cells express a particular antigen (positive or negative), but also determines if the levels of expressed antigens (immunofluorescent intensity) are normal or abnormal. This approach is </w:t>
      </w:r>
      <w:r w:rsidR="00AD6184" w:rsidRPr="00421D86">
        <w:rPr>
          <w:rFonts w:cstheme="minorHAnsi"/>
          <w:b/>
          <w:bCs/>
          <w:color w:val="FF0000"/>
          <w:sz w:val="20"/>
          <w:szCs w:val="20"/>
        </w:rPr>
        <w:t>superior for monitoring</w:t>
      </w:r>
      <w:r w:rsidR="00AD6184" w:rsidRPr="00421D86">
        <w:rPr>
          <w:rFonts w:cstheme="minorHAnsi"/>
          <w:sz w:val="20"/>
          <w:szCs w:val="20"/>
        </w:rPr>
        <w:t xml:space="preserve"> </w:t>
      </w:r>
      <w:r w:rsidR="00AD6184" w:rsidRPr="00421D86">
        <w:rPr>
          <w:rFonts w:cstheme="minorHAnsi"/>
          <w:b/>
          <w:bCs/>
          <w:color w:val="FF0000"/>
          <w:sz w:val="20"/>
          <w:szCs w:val="20"/>
        </w:rPr>
        <w:t xml:space="preserve">MRD in AML </w:t>
      </w:r>
      <w:r w:rsidR="00AD6184" w:rsidRPr="00421D86">
        <w:rPr>
          <w:rFonts w:cstheme="minorHAnsi"/>
          <w:sz w:val="20"/>
          <w:szCs w:val="20"/>
        </w:rPr>
        <w:t xml:space="preserve">and detects changes in immunophenotype missed by laboratories using leukemia-associated immunophenotypes (LAIP). </w:t>
      </w:r>
    </w:p>
    <w:p w14:paraId="7D06B7AC" w14:textId="4641E507" w:rsidR="00AD6184" w:rsidRPr="00421D86" w:rsidRDefault="00AD6184" w:rsidP="00AD6184">
      <w:pPr>
        <w:spacing w:after="120"/>
        <w:rPr>
          <w:rFonts w:cstheme="minorHAnsi"/>
          <w:sz w:val="20"/>
          <w:szCs w:val="20"/>
        </w:rPr>
      </w:pPr>
      <w:r w:rsidRPr="00421D86">
        <w:rPr>
          <w:rFonts w:cstheme="minorHAnsi"/>
          <w:b/>
          <w:color w:val="FF0000"/>
          <w:sz w:val="20"/>
          <w:szCs w:val="20"/>
        </w:rPr>
        <w:t xml:space="preserve">Validated </w:t>
      </w:r>
      <w:r w:rsidR="009A7677" w:rsidRPr="004A691A">
        <w:rPr>
          <w:rFonts w:cstheme="minorHAnsi"/>
          <w:b/>
          <w:color w:val="FF0000"/>
          <w:sz w:val="20"/>
          <w:szCs w:val="20"/>
        </w:rPr>
        <w:t>∆N:</w:t>
      </w:r>
      <w:r w:rsidR="00545014">
        <w:rPr>
          <w:rFonts w:cstheme="minorHAnsi"/>
          <w:b/>
          <w:color w:val="FF0000"/>
          <w:sz w:val="20"/>
          <w:szCs w:val="20"/>
        </w:rPr>
        <w:t>™</w:t>
      </w:r>
      <w:r w:rsidR="009A7677">
        <w:rPr>
          <w:rFonts w:cstheme="minorHAnsi"/>
          <w:b/>
          <w:color w:val="FF0000"/>
          <w:sz w:val="20"/>
          <w:szCs w:val="20"/>
        </w:rPr>
        <w:t xml:space="preserve"> </w:t>
      </w:r>
      <w:r w:rsidRPr="00421D86">
        <w:rPr>
          <w:rFonts w:cstheme="minorHAnsi"/>
          <w:b/>
          <w:color w:val="FF0000"/>
          <w:sz w:val="20"/>
          <w:szCs w:val="20"/>
        </w:rPr>
        <w:t xml:space="preserve">Flow-Cytometric MDS Scoring System (FCSS) </w:t>
      </w:r>
      <w:r w:rsidRPr="00421D86">
        <w:rPr>
          <w:rFonts w:cstheme="minorHAnsi"/>
          <w:sz w:val="20"/>
          <w:szCs w:val="20"/>
        </w:rPr>
        <w:t xml:space="preserve">provides information for the diagnosis and prognosis of MDS. </w:t>
      </w:r>
    </w:p>
    <w:p w14:paraId="05C13567" w14:textId="7F819A52" w:rsidR="00AD6184" w:rsidRPr="00421D86" w:rsidRDefault="00AD6184" w:rsidP="00AD6184">
      <w:pPr>
        <w:spacing w:after="120"/>
        <w:rPr>
          <w:rFonts w:cstheme="minorHAnsi"/>
          <w:sz w:val="20"/>
          <w:szCs w:val="20"/>
        </w:rPr>
      </w:pPr>
      <w:r w:rsidRPr="00421D86">
        <w:rPr>
          <w:rFonts w:cstheme="minorHAnsi"/>
          <w:b/>
          <w:bCs/>
          <w:color w:val="FF0000"/>
          <w:sz w:val="20"/>
          <w:szCs w:val="20"/>
        </w:rPr>
        <w:t>Children’s Oncology Group (COG) Reference Lab</w:t>
      </w:r>
      <w:r w:rsidRPr="00421D86">
        <w:rPr>
          <w:rFonts w:cstheme="minorHAnsi"/>
          <w:color w:val="FF0000"/>
          <w:sz w:val="20"/>
          <w:szCs w:val="20"/>
        </w:rPr>
        <w:t xml:space="preserve"> </w:t>
      </w:r>
      <w:r w:rsidRPr="00421D86">
        <w:rPr>
          <w:rFonts w:cstheme="minorHAnsi"/>
          <w:sz w:val="20"/>
          <w:szCs w:val="20"/>
        </w:rPr>
        <w:t>Hemato</w:t>
      </w:r>
      <w:r w:rsidR="009A7677">
        <w:rPr>
          <w:rFonts w:cstheme="minorHAnsi"/>
          <w:sz w:val="20"/>
          <w:szCs w:val="20"/>
        </w:rPr>
        <w:t>L</w:t>
      </w:r>
      <w:r w:rsidRPr="00421D86">
        <w:rPr>
          <w:rFonts w:cstheme="minorHAnsi"/>
          <w:sz w:val="20"/>
          <w:szCs w:val="20"/>
        </w:rPr>
        <w:t xml:space="preserve">ogics evaluates measurable (minimal) residual disease (MRD) in AML by flow cytometry and RQ-PCR. COG certified in cytogenetics and FISH. </w:t>
      </w:r>
    </w:p>
    <w:p w14:paraId="602A63E4" w14:textId="77777777" w:rsidR="00AD6184" w:rsidRPr="00421D86" w:rsidRDefault="00AD6184" w:rsidP="00AD6184">
      <w:pPr>
        <w:spacing w:after="120"/>
        <w:rPr>
          <w:rFonts w:cstheme="minorHAnsi"/>
          <w:b/>
          <w:sz w:val="20"/>
          <w:szCs w:val="20"/>
        </w:rPr>
      </w:pPr>
      <w:r w:rsidRPr="00421D86">
        <w:rPr>
          <w:rFonts w:cstheme="minorHAnsi"/>
          <w:b/>
          <w:color w:val="FF0000"/>
          <w:sz w:val="20"/>
          <w:szCs w:val="20"/>
        </w:rPr>
        <w:t xml:space="preserve">Cell Enrichment for Plasma-cell Neoplasms - plasma cells are enriched </w:t>
      </w:r>
      <w:r w:rsidRPr="00421D86">
        <w:rPr>
          <w:rFonts w:cstheme="minorHAnsi"/>
          <w:sz w:val="20"/>
          <w:szCs w:val="20"/>
        </w:rPr>
        <w:t>prior to testing by FISH, PCR, and aCGH. Cell enrichment with confirmation by flow cytometry ensures optimal sensitivity.</w:t>
      </w:r>
      <w:r w:rsidRPr="00421D86">
        <w:rPr>
          <w:rFonts w:cstheme="minorHAnsi"/>
          <w:color w:val="FF0000"/>
          <w:sz w:val="20"/>
          <w:szCs w:val="20"/>
        </w:rPr>
        <w:t xml:space="preserve"> </w:t>
      </w:r>
    </w:p>
    <w:p w14:paraId="554719DD" w14:textId="5A561EFE" w:rsidR="00AD6184" w:rsidRDefault="00AD6184" w:rsidP="00AD6184">
      <w:pPr>
        <w:spacing w:after="120"/>
        <w:rPr>
          <w:rFonts w:cstheme="minorHAnsi"/>
          <w:sz w:val="20"/>
          <w:szCs w:val="20"/>
        </w:rPr>
      </w:pPr>
      <w:r w:rsidRPr="00421D86">
        <w:rPr>
          <w:rFonts w:cstheme="minorHAnsi"/>
          <w:b/>
          <w:color w:val="FF0000"/>
          <w:sz w:val="20"/>
          <w:szCs w:val="20"/>
        </w:rPr>
        <w:t>Fluorescent-activated cell sorting</w:t>
      </w:r>
      <w:r w:rsidRPr="00421D86">
        <w:rPr>
          <w:rFonts w:cstheme="minorHAnsi"/>
          <w:color w:val="FF0000"/>
          <w:sz w:val="20"/>
          <w:szCs w:val="20"/>
        </w:rPr>
        <w:t xml:space="preserve"> </w:t>
      </w:r>
      <w:r w:rsidRPr="00421D86">
        <w:rPr>
          <w:rFonts w:cstheme="minorHAnsi"/>
          <w:b/>
          <w:bCs/>
          <w:color w:val="FF0000"/>
          <w:sz w:val="20"/>
          <w:szCs w:val="20"/>
        </w:rPr>
        <w:t>(FACS)</w:t>
      </w:r>
      <w:r w:rsidRPr="00421D86">
        <w:rPr>
          <w:rFonts w:cstheme="minorHAnsi"/>
          <w:color w:val="FF0000"/>
          <w:sz w:val="20"/>
          <w:szCs w:val="20"/>
        </w:rPr>
        <w:t xml:space="preserve"> </w:t>
      </w:r>
      <w:r w:rsidRPr="00421D86">
        <w:rPr>
          <w:rFonts w:cstheme="minorHAnsi"/>
          <w:sz w:val="20"/>
          <w:szCs w:val="20"/>
        </w:rPr>
        <w:t xml:space="preserve">can sort small populations of cells by flow cytometry to provide sufficient numbers for additional testing—FISH, PCR, NGS, aCGH, etc. This method significantly increases test sensitivity and specificity when combined with FISH </w:t>
      </w:r>
      <w:r w:rsidRPr="00421D86">
        <w:rPr>
          <w:rFonts w:cstheme="minorHAnsi"/>
          <w:b/>
          <w:bCs/>
          <w:color w:val="FF0000"/>
          <w:sz w:val="20"/>
          <w:szCs w:val="20"/>
        </w:rPr>
        <w:t>(FACS-FISH)</w:t>
      </w:r>
      <w:r w:rsidRPr="00421D86">
        <w:rPr>
          <w:rFonts w:cstheme="minorHAnsi"/>
          <w:color w:val="FF0000"/>
          <w:sz w:val="20"/>
          <w:szCs w:val="20"/>
        </w:rPr>
        <w:t xml:space="preserve"> </w:t>
      </w:r>
      <w:r w:rsidRPr="00421D86">
        <w:rPr>
          <w:rFonts w:cstheme="minorHAnsi"/>
          <w:sz w:val="20"/>
          <w:szCs w:val="20"/>
        </w:rPr>
        <w:t>or other molecular techniques (</w:t>
      </w:r>
      <w:r w:rsidR="008E21BD" w:rsidRPr="00421D86">
        <w:rPr>
          <w:rFonts w:cstheme="minorHAnsi"/>
          <w:sz w:val="20"/>
          <w:szCs w:val="20"/>
        </w:rPr>
        <w:t>i.e.,</w:t>
      </w:r>
      <w:r w:rsidRPr="00421D86">
        <w:rPr>
          <w:rFonts w:cstheme="minorHAnsi"/>
          <w:sz w:val="20"/>
          <w:szCs w:val="20"/>
        </w:rPr>
        <w:t xml:space="preserve"> clonal profiling).</w:t>
      </w:r>
    </w:p>
    <w:p w14:paraId="4DAF3E15" w14:textId="58382E2E" w:rsidR="009A7677" w:rsidRPr="00421D86" w:rsidRDefault="009A7677" w:rsidP="00AD6184">
      <w:pPr>
        <w:spacing w:after="120"/>
        <w:rPr>
          <w:rFonts w:cstheme="minorHAnsi"/>
          <w:sz w:val="20"/>
          <w:szCs w:val="20"/>
        </w:rPr>
      </w:pPr>
      <w:r w:rsidRPr="004A691A">
        <w:rPr>
          <w:rFonts w:cstheme="minorHAnsi"/>
          <w:b/>
          <w:bCs/>
          <w:color w:val="FF0000"/>
          <w:sz w:val="20"/>
          <w:szCs w:val="20"/>
        </w:rPr>
        <w:t>Quantitative PCR</w:t>
      </w:r>
      <w:r w:rsidRPr="004A691A">
        <w:rPr>
          <w:rFonts w:cstheme="minorHAnsi"/>
          <w:color w:val="FF0000"/>
          <w:sz w:val="20"/>
          <w:szCs w:val="20"/>
        </w:rPr>
        <w:t xml:space="preserve"> </w:t>
      </w:r>
      <w:r w:rsidRPr="004A691A">
        <w:rPr>
          <w:rFonts w:cstheme="minorHAnsi"/>
          <w:sz w:val="20"/>
          <w:szCs w:val="20"/>
        </w:rPr>
        <w:t>menu is the most comprehensive available.</w:t>
      </w:r>
    </w:p>
    <w:p w14:paraId="23B80CAD" w14:textId="77777777" w:rsidR="00AD6184" w:rsidRPr="00421D86" w:rsidRDefault="00AD6184" w:rsidP="00AD6184">
      <w:pPr>
        <w:spacing w:after="120"/>
        <w:rPr>
          <w:rFonts w:cstheme="minorHAnsi"/>
          <w:sz w:val="20"/>
          <w:szCs w:val="20"/>
        </w:rPr>
      </w:pPr>
      <w:r w:rsidRPr="00421D86">
        <w:rPr>
          <w:rFonts w:cstheme="minorHAnsi"/>
          <w:b/>
          <w:bCs/>
          <w:color w:val="FF0000"/>
          <w:sz w:val="20"/>
          <w:szCs w:val="20"/>
        </w:rPr>
        <w:t>Extensive FISH Probe Library</w:t>
      </w:r>
      <w:r w:rsidRPr="00421D86">
        <w:rPr>
          <w:rFonts w:cstheme="minorHAnsi"/>
          <w:sz w:val="20"/>
          <w:szCs w:val="20"/>
        </w:rPr>
        <w:t xml:space="preserve"> is available for</w:t>
      </w:r>
      <w:r w:rsidRPr="00421D86">
        <w:rPr>
          <w:rFonts w:cstheme="minorHAnsi"/>
          <w:b/>
          <w:sz w:val="20"/>
          <w:szCs w:val="20"/>
        </w:rPr>
        <w:t xml:space="preserve"> </w:t>
      </w:r>
      <w:r w:rsidRPr="00421D86">
        <w:rPr>
          <w:rFonts w:cstheme="minorHAnsi"/>
          <w:bCs/>
          <w:sz w:val="20"/>
          <w:szCs w:val="20"/>
        </w:rPr>
        <w:t>analyses of myeloid and lymphoid neoplasms</w:t>
      </w:r>
      <w:r w:rsidRPr="00421D86">
        <w:rPr>
          <w:rFonts w:cstheme="minorHAnsi"/>
          <w:sz w:val="20"/>
          <w:szCs w:val="20"/>
        </w:rPr>
        <w:t xml:space="preserve">. FISH can also be performed on paraffin-embedded tissues, </w:t>
      </w:r>
      <w:r w:rsidRPr="00421D86">
        <w:rPr>
          <w:rFonts w:cstheme="minorHAnsi"/>
          <w:b/>
          <w:bCs/>
          <w:color w:val="FF0000"/>
          <w:sz w:val="20"/>
          <w:szCs w:val="20"/>
        </w:rPr>
        <w:t>plasma cells enriched</w:t>
      </w:r>
      <w:r w:rsidRPr="00421D86">
        <w:rPr>
          <w:rFonts w:cstheme="minorHAnsi"/>
          <w:sz w:val="20"/>
          <w:szCs w:val="20"/>
        </w:rPr>
        <w:t xml:space="preserve"> from whole bone marrow, </w:t>
      </w:r>
      <w:r w:rsidRPr="00421D86">
        <w:rPr>
          <w:rFonts w:cstheme="minorHAnsi"/>
          <w:b/>
          <w:bCs/>
          <w:color w:val="FF0000"/>
          <w:sz w:val="20"/>
          <w:szCs w:val="20"/>
        </w:rPr>
        <w:t>cells sorted by flow cytometry</w:t>
      </w:r>
      <w:r w:rsidRPr="00421D86">
        <w:rPr>
          <w:rFonts w:cstheme="minorHAnsi"/>
          <w:sz w:val="20"/>
          <w:szCs w:val="20"/>
        </w:rPr>
        <w:t xml:space="preserve">, etc. Our FISH studies have industry-leading turn-around times. </w:t>
      </w:r>
    </w:p>
    <w:p w14:paraId="66CB1712" w14:textId="77777777" w:rsidR="00AD6184" w:rsidRPr="00421D86" w:rsidRDefault="00AD6184" w:rsidP="00AD6184">
      <w:pPr>
        <w:spacing w:after="120" w:line="276" w:lineRule="auto"/>
        <w:rPr>
          <w:rFonts w:cstheme="minorHAnsi"/>
          <w:sz w:val="20"/>
          <w:szCs w:val="20"/>
        </w:rPr>
      </w:pPr>
      <w:r w:rsidRPr="00421D86">
        <w:rPr>
          <w:rFonts w:cstheme="minorHAnsi"/>
          <w:b/>
          <w:color w:val="FF0000"/>
          <w:sz w:val="20"/>
          <w:szCs w:val="20"/>
        </w:rPr>
        <w:t>Metaphase FISH</w:t>
      </w:r>
      <w:r w:rsidRPr="00421D86">
        <w:rPr>
          <w:rFonts w:cstheme="minorHAnsi"/>
          <w:b/>
          <w:bCs/>
          <w:color w:val="FF0000"/>
          <w:sz w:val="20"/>
          <w:szCs w:val="20"/>
        </w:rPr>
        <w:t xml:space="preserve"> (FISH of cells in metaphase)</w:t>
      </w:r>
      <w:r w:rsidRPr="00421D86">
        <w:rPr>
          <w:rFonts w:cstheme="minorHAnsi"/>
          <w:b/>
          <w:bCs/>
          <w:sz w:val="20"/>
          <w:szCs w:val="20"/>
        </w:rPr>
        <w:t xml:space="preserve"> </w:t>
      </w:r>
      <w:r w:rsidRPr="00421D86">
        <w:rPr>
          <w:rFonts w:cstheme="minorHAnsi"/>
          <w:sz w:val="20"/>
          <w:szCs w:val="20"/>
        </w:rPr>
        <w:t xml:space="preserve">integrates cytogenetic banding with fluorescent in situ hybridization to target specific chromosomes. It identifies the translocation partner for chromosomal rearrangements incompletely characterized by routine cytogenetic karyotypes and routine FISH (of cells in interphase). For example, metaphase FISH could be used to characterize c-MYC rearrangements. </w:t>
      </w:r>
    </w:p>
    <w:p w14:paraId="1840FFA8" w14:textId="77777777" w:rsidR="00AD6184" w:rsidRPr="00421D86" w:rsidRDefault="00AD6184" w:rsidP="00AD6184">
      <w:pPr>
        <w:spacing w:after="120"/>
        <w:rPr>
          <w:rFonts w:cstheme="minorHAnsi"/>
          <w:sz w:val="20"/>
          <w:szCs w:val="20"/>
        </w:rPr>
      </w:pPr>
      <w:r w:rsidRPr="00421D86">
        <w:rPr>
          <w:rFonts w:cstheme="minorHAnsi"/>
          <w:b/>
          <w:color w:val="FF0000"/>
          <w:sz w:val="20"/>
          <w:szCs w:val="20"/>
        </w:rPr>
        <w:t>Clonal Profiling for Rearrangements of Immunoglobulin and T-cell Receptor Genes</w:t>
      </w:r>
      <w:r w:rsidRPr="00421D86">
        <w:rPr>
          <w:rFonts w:cstheme="minorHAnsi"/>
          <w:color w:val="FF0000"/>
          <w:sz w:val="20"/>
          <w:szCs w:val="20"/>
        </w:rPr>
        <w:t xml:space="preserve"> </w:t>
      </w:r>
      <w:r w:rsidRPr="00421D86">
        <w:rPr>
          <w:rFonts w:cstheme="minorHAnsi"/>
          <w:sz w:val="20"/>
          <w:szCs w:val="20"/>
        </w:rPr>
        <w:t>provides a molecular fingerprint of your patient’s lymphoid neoplasm to confirm clonality, to establish relationships between multiple clones, and to monitor a patient’s response to treatment over time.</w:t>
      </w:r>
    </w:p>
    <w:p w14:paraId="109C9C03" w14:textId="77777777" w:rsidR="00AD6184" w:rsidRPr="00421D86" w:rsidRDefault="00AD6184" w:rsidP="00AD6184">
      <w:pPr>
        <w:spacing w:after="120"/>
        <w:rPr>
          <w:rFonts w:cstheme="minorHAnsi"/>
          <w:sz w:val="20"/>
          <w:szCs w:val="20"/>
        </w:rPr>
      </w:pPr>
      <w:r w:rsidRPr="00421D86">
        <w:rPr>
          <w:rFonts w:cstheme="minorHAnsi"/>
          <w:b/>
          <w:color w:val="FF0000"/>
          <w:sz w:val="20"/>
          <w:szCs w:val="20"/>
        </w:rPr>
        <w:t>Cytogenetic Cultures for Karyotypes of Myeloid and Lymphoid Neoplasms are Optimized</w:t>
      </w:r>
      <w:r w:rsidRPr="00421D86">
        <w:rPr>
          <w:rFonts w:cstheme="minorHAnsi"/>
          <w:color w:val="FF0000"/>
          <w:sz w:val="20"/>
          <w:szCs w:val="20"/>
        </w:rPr>
        <w:t xml:space="preserve"> </w:t>
      </w:r>
      <w:r w:rsidRPr="00421D86">
        <w:rPr>
          <w:rFonts w:cstheme="minorHAnsi"/>
          <w:sz w:val="20"/>
          <w:szCs w:val="20"/>
        </w:rPr>
        <w:t xml:space="preserve">using culture conditions based on specimen composition (determined by flow cytometry) to provide high abnormality rates (~30%) and fast turnaround times (~5 days). Professional consultation and preliminary results are only a phone call away with no phone tree. </w:t>
      </w:r>
    </w:p>
    <w:p w14:paraId="6319D99B" w14:textId="77777777" w:rsidR="00AD6184" w:rsidRPr="00421D86" w:rsidRDefault="00AD6184" w:rsidP="00AD6184">
      <w:pPr>
        <w:spacing w:after="120" w:line="276" w:lineRule="auto"/>
        <w:rPr>
          <w:rFonts w:cstheme="minorHAnsi"/>
          <w:sz w:val="20"/>
          <w:szCs w:val="20"/>
        </w:rPr>
      </w:pPr>
      <w:r w:rsidRPr="00421D86">
        <w:rPr>
          <w:rFonts w:cstheme="minorHAnsi"/>
          <w:b/>
          <w:bCs/>
          <w:color w:val="FF0000"/>
          <w:sz w:val="20"/>
          <w:szCs w:val="20"/>
        </w:rPr>
        <w:t>Patient’s Baseline Specimen for Quantitative RQ-PCR</w:t>
      </w:r>
      <w:r w:rsidRPr="00421D86">
        <w:rPr>
          <w:rFonts w:cstheme="minorHAnsi"/>
          <w:sz w:val="20"/>
          <w:szCs w:val="20"/>
        </w:rPr>
        <w:t xml:space="preserve"> is routinely tested side by side with monitoring specimens. Other laboratories use cell lines or commercial standards, reducing the accuracy of patient-specific responses. </w:t>
      </w:r>
    </w:p>
    <w:p w14:paraId="71BE0A30" w14:textId="77777777" w:rsidR="00AD6184" w:rsidRPr="00421D86" w:rsidRDefault="00AD6184" w:rsidP="00AD6184">
      <w:pPr>
        <w:spacing w:after="120" w:line="276" w:lineRule="auto"/>
        <w:rPr>
          <w:rFonts w:cstheme="minorHAnsi"/>
          <w:color w:val="FF0000"/>
          <w:sz w:val="20"/>
          <w:szCs w:val="20"/>
        </w:rPr>
      </w:pPr>
      <w:r w:rsidRPr="00421D86">
        <w:rPr>
          <w:rFonts w:cstheme="minorHAnsi"/>
          <w:b/>
          <w:color w:val="FF0000"/>
          <w:sz w:val="20"/>
          <w:szCs w:val="20"/>
        </w:rPr>
        <w:t>Specimens are Archived</w:t>
      </w:r>
      <w:r w:rsidRPr="00421D86">
        <w:rPr>
          <w:rFonts w:cstheme="minorHAnsi"/>
          <w:sz w:val="20"/>
          <w:szCs w:val="20"/>
        </w:rPr>
        <w:t xml:space="preserve"> (at no additional cost) to preserve DNA and cells for future retrospective testing. Diagnostic specimens are used as baselines for future quantitative monitoring and next-generation sequencing. </w:t>
      </w:r>
    </w:p>
    <w:p w14:paraId="2299CF72" w14:textId="77777777" w:rsidR="00AD6184" w:rsidRPr="00421D86" w:rsidRDefault="00AD6184" w:rsidP="00AD6184">
      <w:pPr>
        <w:spacing w:after="120" w:line="276" w:lineRule="auto"/>
        <w:rPr>
          <w:rFonts w:cstheme="minorHAnsi"/>
          <w:color w:val="FF0000"/>
          <w:sz w:val="20"/>
          <w:szCs w:val="20"/>
        </w:rPr>
      </w:pPr>
      <w:r w:rsidRPr="00421D86">
        <w:rPr>
          <w:rFonts w:cstheme="minorHAnsi"/>
          <w:b/>
          <w:color w:val="FF0000"/>
          <w:sz w:val="20"/>
          <w:szCs w:val="20"/>
        </w:rPr>
        <w:t>SNP/CGH Microarray</w:t>
      </w:r>
      <w:r w:rsidRPr="00421D86">
        <w:rPr>
          <w:rFonts w:cstheme="minorHAnsi"/>
          <w:sz w:val="20"/>
          <w:szCs w:val="20"/>
        </w:rPr>
        <w:t xml:space="preserve"> (combined on one platform) to detect clonal evolution, loss of heterozygosity (LOH), cryptic 5q deletions in MDS, masked hypodiploidy and </w:t>
      </w:r>
      <w:r w:rsidRPr="00421D86">
        <w:rPr>
          <w:rFonts w:cstheme="minorHAnsi"/>
          <w:i/>
          <w:iCs/>
          <w:sz w:val="20"/>
          <w:szCs w:val="20"/>
        </w:rPr>
        <w:t>RUNX1</w:t>
      </w:r>
      <w:r w:rsidRPr="00421D86">
        <w:rPr>
          <w:rFonts w:cstheme="minorHAnsi"/>
          <w:sz w:val="20"/>
          <w:szCs w:val="20"/>
        </w:rPr>
        <w:t xml:space="preserve"> amplifications in ALL. </w:t>
      </w:r>
    </w:p>
    <w:p w14:paraId="01B81392" w14:textId="6FB46A60" w:rsidR="00AD6184" w:rsidRPr="00421D86" w:rsidRDefault="00AD6184" w:rsidP="00AD6184">
      <w:pPr>
        <w:spacing w:after="120" w:line="276" w:lineRule="auto"/>
        <w:rPr>
          <w:rFonts w:cstheme="minorHAnsi"/>
          <w:sz w:val="20"/>
          <w:szCs w:val="20"/>
        </w:rPr>
      </w:pPr>
      <w:r w:rsidRPr="00421D86">
        <w:rPr>
          <w:rFonts w:cstheme="minorHAnsi"/>
          <w:b/>
          <w:color w:val="FF0000"/>
          <w:sz w:val="20"/>
          <w:szCs w:val="20"/>
        </w:rPr>
        <w:t>CD33 SNP</w:t>
      </w:r>
      <w:r w:rsidRPr="00421D86">
        <w:rPr>
          <w:rFonts w:cstheme="minorHAnsi"/>
          <w:color w:val="FF0000"/>
          <w:sz w:val="20"/>
          <w:szCs w:val="20"/>
        </w:rPr>
        <w:t xml:space="preserve"> </w:t>
      </w:r>
      <w:r w:rsidRPr="00421D86">
        <w:rPr>
          <w:rFonts w:cstheme="minorHAnsi"/>
          <w:sz w:val="20"/>
          <w:szCs w:val="20"/>
        </w:rPr>
        <w:t>correlates with the level of expression of CD33, which is the binding site for gemtuzumab ozogamicin (</w:t>
      </w:r>
      <w:r w:rsidRPr="00421D86">
        <w:rPr>
          <w:rFonts w:cstheme="minorHAnsi"/>
          <w:bCs/>
          <w:sz w:val="20"/>
          <w:szCs w:val="20"/>
        </w:rPr>
        <w:t>Mylotarg</w:t>
      </w:r>
      <w:r w:rsidR="009A7677" w:rsidRPr="009A7677">
        <w:rPr>
          <w:rFonts w:cstheme="minorHAnsi"/>
          <w:bCs/>
          <w:sz w:val="20"/>
          <w:szCs w:val="20"/>
          <w:vertAlign w:val="superscript"/>
        </w:rPr>
        <w:t>TM</w:t>
      </w:r>
      <w:r w:rsidRPr="00421D86">
        <w:rPr>
          <w:rFonts w:cstheme="minorHAnsi"/>
          <w:sz w:val="20"/>
          <w:szCs w:val="20"/>
        </w:rPr>
        <w:t>) and can help predict response in the treatment of AML.</w:t>
      </w:r>
    </w:p>
    <w:p w14:paraId="0DD382A3" w14:textId="77777777" w:rsidR="00AD6184" w:rsidRPr="00421D86" w:rsidRDefault="00AD6184" w:rsidP="00AD6184">
      <w:pPr>
        <w:spacing w:after="120" w:line="276" w:lineRule="auto"/>
        <w:rPr>
          <w:rFonts w:cstheme="minorHAnsi"/>
          <w:sz w:val="20"/>
          <w:szCs w:val="20"/>
        </w:rPr>
      </w:pPr>
      <w:r w:rsidRPr="00421D86">
        <w:rPr>
          <w:rFonts w:cstheme="minorHAnsi"/>
          <w:b/>
          <w:i/>
          <w:iCs/>
          <w:color w:val="FF0000"/>
          <w:sz w:val="20"/>
          <w:szCs w:val="20"/>
        </w:rPr>
        <w:t>CBFA2T3-GLIS2</w:t>
      </w:r>
      <w:r w:rsidRPr="00421D86">
        <w:rPr>
          <w:rFonts w:cstheme="minorHAnsi"/>
          <w:b/>
          <w:color w:val="FF0000"/>
          <w:sz w:val="20"/>
          <w:szCs w:val="20"/>
        </w:rPr>
        <w:t xml:space="preserve"> RT-PCR</w:t>
      </w:r>
      <w:r w:rsidRPr="00421D86">
        <w:rPr>
          <w:rFonts w:cstheme="minorHAnsi"/>
          <w:sz w:val="20"/>
          <w:szCs w:val="20"/>
        </w:rPr>
        <w:t xml:space="preserve"> provides a quantitative test to monitor residual disease in pediatric patients who have a rare type of AML with the </w:t>
      </w:r>
      <w:r w:rsidRPr="00421D86">
        <w:rPr>
          <w:rFonts w:cstheme="minorHAnsi"/>
          <w:b/>
          <w:bCs/>
          <w:color w:val="FF0000"/>
          <w:sz w:val="20"/>
          <w:szCs w:val="20"/>
        </w:rPr>
        <w:t>RAM phenotype</w:t>
      </w:r>
      <w:r w:rsidRPr="00421D86">
        <w:rPr>
          <w:rFonts w:cstheme="minorHAnsi"/>
          <w:sz w:val="20"/>
          <w:szCs w:val="20"/>
        </w:rPr>
        <w:t>.</w:t>
      </w:r>
    </w:p>
    <w:p w14:paraId="06475C58" w14:textId="77777777" w:rsidR="00AD6184" w:rsidRPr="00421D86" w:rsidRDefault="00AD6184" w:rsidP="00AD6184">
      <w:pPr>
        <w:spacing w:after="120"/>
        <w:rPr>
          <w:rFonts w:cstheme="minorHAnsi"/>
          <w:b/>
          <w:sz w:val="20"/>
          <w:szCs w:val="20"/>
        </w:rPr>
      </w:pPr>
      <w:r w:rsidRPr="00421D86">
        <w:rPr>
          <w:rFonts w:cstheme="minorHAnsi"/>
          <w:b/>
          <w:color w:val="FF0000"/>
          <w:sz w:val="20"/>
          <w:szCs w:val="20"/>
        </w:rPr>
        <w:t xml:space="preserve">Next-generation sequencing (NGS) </w:t>
      </w:r>
      <w:r w:rsidRPr="00421D86">
        <w:rPr>
          <w:rFonts w:cstheme="minorHAnsi"/>
          <w:sz w:val="20"/>
          <w:szCs w:val="20"/>
        </w:rPr>
        <w:t>has panels for AML, MDS, JMML, and MPN, and NGS can be performed on cells sorted by flow cytometry.</w:t>
      </w:r>
    </w:p>
    <w:p w14:paraId="7AAE5E21" w14:textId="666FB6AB" w:rsidR="00AD6184" w:rsidRPr="00421D86" w:rsidRDefault="00AD6184" w:rsidP="00AD6184">
      <w:pPr>
        <w:spacing w:after="120"/>
        <w:rPr>
          <w:rFonts w:cstheme="minorHAnsi"/>
          <w:sz w:val="20"/>
          <w:szCs w:val="20"/>
        </w:rPr>
      </w:pPr>
      <w:r w:rsidRPr="008E21BD">
        <w:rPr>
          <w:rFonts w:ascii="Bauhaus 93" w:hAnsi="Bauhaus 93" w:cstheme="minorHAnsi"/>
          <w:bCs/>
          <w:color w:val="FF0000"/>
          <w:sz w:val="20"/>
          <w:szCs w:val="20"/>
        </w:rPr>
        <w:t>Hemato</w:t>
      </w:r>
      <w:r w:rsidR="009A7677" w:rsidRPr="008E21BD">
        <w:rPr>
          <w:rFonts w:ascii="Bauhaus 93" w:hAnsi="Bauhaus 93" w:cstheme="minorHAnsi"/>
          <w:bCs/>
          <w:sz w:val="20"/>
          <w:szCs w:val="20"/>
        </w:rPr>
        <w:t>L</w:t>
      </w:r>
      <w:r w:rsidRPr="008E21BD">
        <w:rPr>
          <w:rFonts w:ascii="Bauhaus 93" w:hAnsi="Bauhaus 93" w:cstheme="minorHAnsi"/>
          <w:bCs/>
          <w:sz w:val="20"/>
          <w:szCs w:val="20"/>
        </w:rPr>
        <w:t>ogics</w:t>
      </w:r>
      <w:r w:rsidRPr="00421D86">
        <w:rPr>
          <w:rFonts w:cstheme="minorHAnsi"/>
          <w:bCs/>
          <w:sz w:val="20"/>
          <w:szCs w:val="20"/>
        </w:rPr>
        <w:t xml:space="preserve"> has numerous</w:t>
      </w:r>
      <w:r w:rsidRPr="00421D86">
        <w:rPr>
          <w:rFonts w:cstheme="minorHAnsi"/>
          <w:b/>
          <w:color w:val="FF0000"/>
          <w:sz w:val="20"/>
          <w:szCs w:val="20"/>
        </w:rPr>
        <w:t xml:space="preserve"> peer-reviewed publications</w:t>
      </w:r>
      <w:r w:rsidRPr="00421D86">
        <w:rPr>
          <w:rFonts w:cstheme="minorHAnsi"/>
          <w:color w:val="FF0000"/>
          <w:sz w:val="20"/>
          <w:szCs w:val="20"/>
        </w:rPr>
        <w:t xml:space="preserve"> </w:t>
      </w:r>
      <w:r w:rsidRPr="00421D86">
        <w:rPr>
          <w:rFonts w:cstheme="minorHAnsi"/>
          <w:sz w:val="20"/>
          <w:szCs w:val="20"/>
        </w:rPr>
        <w:t>co-authored with COG</w:t>
      </w:r>
      <w:r w:rsidR="008E21BD">
        <w:rPr>
          <w:rFonts w:cstheme="minorHAnsi"/>
          <w:sz w:val="20"/>
          <w:szCs w:val="20"/>
        </w:rPr>
        <w:t>,</w:t>
      </w:r>
      <w:r w:rsidRPr="00421D86">
        <w:rPr>
          <w:rFonts w:cstheme="minorHAnsi"/>
          <w:sz w:val="20"/>
          <w:szCs w:val="20"/>
        </w:rPr>
        <w:t xml:space="preserve"> several universities</w:t>
      </w:r>
      <w:r w:rsidR="008E21BD">
        <w:rPr>
          <w:rFonts w:cstheme="minorHAnsi"/>
          <w:sz w:val="20"/>
          <w:szCs w:val="20"/>
        </w:rPr>
        <w:t xml:space="preserve"> and numerous international studies.</w:t>
      </w:r>
    </w:p>
    <w:p w14:paraId="0E5E00BE" w14:textId="667CFFC9" w:rsidR="00AD6184" w:rsidRPr="00421D86" w:rsidRDefault="00AD6184" w:rsidP="00AD6184">
      <w:pPr>
        <w:spacing w:after="120"/>
        <w:rPr>
          <w:rFonts w:cstheme="minorHAnsi"/>
          <w:sz w:val="20"/>
          <w:szCs w:val="20"/>
        </w:rPr>
      </w:pPr>
      <w:r w:rsidRPr="00421D86">
        <w:rPr>
          <w:rFonts w:cstheme="minorHAnsi"/>
          <w:b/>
          <w:color w:val="FF0000"/>
          <w:sz w:val="20"/>
          <w:szCs w:val="20"/>
        </w:rPr>
        <w:t>Our integrated/algorithmic approach</w:t>
      </w:r>
      <w:r w:rsidRPr="00421D86">
        <w:rPr>
          <w:rFonts w:cstheme="minorHAnsi"/>
          <w:sz w:val="20"/>
          <w:szCs w:val="20"/>
        </w:rPr>
        <w:t xml:space="preserve"> minimizes unneeded testing. The specimen composition determined by</w:t>
      </w:r>
      <w:r w:rsidR="00AB123C">
        <w:rPr>
          <w:rFonts w:cstheme="minorHAnsi"/>
          <w:sz w:val="20"/>
          <w:szCs w:val="20"/>
        </w:rPr>
        <w:t xml:space="preserve"> </w:t>
      </w:r>
      <w:r w:rsidR="00AB123C" w:rsidRPr="00AB123C">
        <w:rPr>
          <w:rFonts w:cstheme="minorHAnsi"/>
          <w:b/>
          <w:bCs/>
          <w:sz w:val="20"/>
          <w:szCs w:val="20"/>
        </w:rPr>
        <w:t>∆N:</w:t>
      </w:r>
      <w:r w:rsidR="0066196D" w:rsidRPr="0066196D">
        <w:rPr>
          <w:rFonts w:cstheme="minorHAnsi"/>
          <w:sz w:val="20"/>
          <w:szCs w:val="20"/>
        </w:rPr>
        <w:t>™</w:t>
      </w:r>
      <w:r w:rsidR="00AB123C">
        <w:rPr>
          <w:rFonts w:cstheme="minorHAnsi"/>
          <w:sz w:val="20"/>
          <w:szCs w:val="20"/>
        </w:rPr>
        <w:t xml:space="preserve"> (</w:t>
      </w:r>
      <w:r w:rsidR="003D74D8">
        <w:rPr>
          <w:rFonts w:cstheme="minorHAnsi"/>
          <w:sz w:val="20"/>
          <w:szCs w:val="20"/>
        </w:rPr>
        <w:t>Difference from Normal</w:t>
      </w:r>
      <w:r w:rsidR="00AB123C">
        <w:rPr>
          <w:rFonts w:cstheme="minorHAnsi"/>
          <w:sz w:val="20"/>
          <w:szCs w:val="20"/>
        </w:rPr>
        <w:t>)</w:t>
      </w:r>
      <w:r w:rsidR="003D74D8">
        <w:rPr>
          <w:rFonts w:cstheme="minorHAnsi"/>
          <w:sz w:val="20"/>
          <w:szCs w:val="20"/>
        </w:rPr>
        <w:t xml:space="preserve"> </w:t>
      </w:r>
      <w:r w:rsidR="003D74D8" w:rsidRPr="00AB123C">
        <w:rPr>
          <w:rFonts w:cstheme="minorHAnsi"/>
          <w:b/>
          <w:bCs/>
          <w:sz w:val="20"/>
          <w:szCs w:val="20"/>
        </w:rPr>
        <w:t>F</w:t>
      </w:r>
      <w:r w:rsidRPr="00AB123C">
        <w:rPr>
          <w:rFonts w:cstheme="minorHAnsi"/>
          <w:b/>
          <w:bCs/>
          <w:sz w:val="20"/>
          <w:szCs w:val="20"/>
        </w:rPr>
        <w:t xml:space="preserve">low </w:t>
      </w:r>
      <w:r w:rsidR="003D74D8" w:rsidRPr="00AB123C">
        <w:rPr>
          <w:rFonts w:cstheme="minorHAnsi"/>
          <w:b/>
          <w:bCs/>
          <w:sz w:val="20"/>
          <w:szCs w:val="20"/>
        </w:rPr>
        <w:t>C</w:t>
      </w:r>
      <w:r w:rsidRPr="00AB123C">
        <w:rPr>
          <w:rFonts w:cstheme="minorHAnsi"/>
          <w:b/>
          <w:bCs/>
          <w:sz w:val="20"/>
          <w:szCs w:val="20"/>
        </w:rPr>
        <w:t>ytometry</w:t>
      </w:r>
      <w:r w:rsidRPr="00421D86">
        <w:rPr>
          <w:rFonts w:cstheme="minorHAnsi"/>
          <w:sz w:val="20"/>
          <w:szCs w:val="20"/>
        </w:rPr>
        <w:t xml:space="preserve"> guides further testing—appropriate cultures for cytogenetic karyotypes, FISH panels, PCR, DNA sequencing, NGS, cell sorting for FISH or DNA tests, etc. Our interdisciplinary team guides testing through an integrated laboratory. </w:t>
      </w:r>
    </w:p>
    <w:p w14:paraId="474F2A1A" w14:textId="685825F2" w:rsidR="0019175F" w:rsidRPr="00C309C2" w:rsidRDefault="00BA0633" w:rsidP="00BA0633">
      <w:pPr>
        <w:jc w:val="center"/>
        <w:rPr>
          <w:rFonts w:ascii="Bauhaus 93" w:hAnsi="Bauhaus 93"/>
          <w:b/>
          <w:bCs/>
          <w:color w:val="FF0000"/>
        </w:rPr>
      </w:pPr>
      <w:r w:rsidRPr="00C309C2">
        <w:rPr>
          <w:rFonts w:ascii="Bauhaus 93" w:hAnsi="Bauhaus 93"/>
          <w:b/>
          <w:bCs/>
          <w:color w:val="FF0000"/>
        </w:rPr>
        <w:t>Best for Your Patient – Best for You</w:t>
      </w:r>
    </w:p>
    <w:sectPr w:rsidR="0019175F" w:rsidRPr="00C309C2" w:rsidSect="00AD618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84"/>
    <w:rsid w:val="00014FF0"/>
    <w:rsid w:val="000308AA"/>
    <w:rsid w:val="00035CFF"/>
    <w:rsid w:val="00055FE6"/>
    <w:rsid w:val="000840E9"/>
    <w:rsid w:val="000B5C07"/>
    <w:rsid w:val="000D3230"/>
    <w:rsid w:val="000E39E7"/>
    <w:rsid w:val="000E43B0"/>
    <w:rsid w:val="000F5A9F"/>
    <w:rsid w:val="00112881"/>
    <w:rsid w:val="00177F32"/>
    <w:rsid w:val="00182258"/>
    <w:rsid w:val="0018505D"/>
    <w:rsid w:val="0019175F"/>
    <w:rsid w:val="001B7A54"/>
    <w:rsid w:val="001F03BE"/>
    <w:rsid w:val="00204905"/>
    <w:rsid w:val="002A4705"/>
    <w:rsid w:val="002E544F"/>
    <w:rsid w:val="003031AE"/>
    <w:rsid w:val="003652CF"/>
    <w:rsid w:val="0038176D"/>
    <w:rsid w:val="003C735C"/>
    <w:rsid w:val="003C7E1A"/>
    <w:rsid w:val="003D74D8"/>
    <w:rsid w:val="003F377A"/>
    <w:rsid w:val="004107EB"/>
    <w:rsid w:val="00421D86"/>
    <w:rsid w:val="004248AF"/>
    <w:rsid w:val="0043257A"/>
    <w:rsid w:val="0043439A"/>
    <w:rsid w:val="004345C4"/>
    <w:rsid w:val="0045582E"/>
    <w:rsid w:val="00455D6D"/>
    <w:rsid w:val="00461AE2"/>
    <w:rsid w:val="004827BD"/>
    <w:rsid w:val="004A0058"/>
    <w:rsid w:val="004A691A"/>
    <w:rsid w:val="004C51F2"/>
    <w:rsid w:val="004D3703"/>
    <w:rsid w:val="004D514F"/>
    <w:rsid w:val="00521EB9"/>
    <w:rsid w:val="0053428B"/>
    <w:rsid w:val="00545014"/>
    <w:rsid w:val="00580DE5"/>
    <w:rsid w:val="00597B2A"/>
    <w:rsid w:val="005C52D5"/>
    <w:rsid w:val="005D6315"/>
    <w:rsid w:val="005E0868"/>
    <w:rsid w:val="00620586"/>
    <w:rsid w:val="0066196D"/>
    <w:rsid w:val="006A5E2B"/>
    <w:rsid w:val="006B557F"/>
    <w:rsid w:val="006D5DBD"/>
    <w:rsid w:val="0073681F"/>
    <w:rsid w:val="00761D2A"/>
    <w:rsid w:val="007D50B3"/>
    <w:rsid w:val="0080526C"/>
    <w:rsid w:val="00875F80"/>
    <w:rsid w:val="008E21BD"/>
    <w:rsid w:val="008E6955"/>
    <w:rsid w:val="008F29E8"/>
    <w:rsid w:val="009A32AC"/>
    <w:rsid w:val="009A7677"/>
    <w:rsid w:val="009B0611"/>
    <w:rsid w:val="00A674BD"/>
    <w:rsid w:val="00AB123C"/>
    <w:rsid w:val="00AD6184"/>
    <w:rsid w:val="00AE075F"/>
    <w:rsid w:val="00B23DCF"/>
    <w:rsid w:val="00B37A1A"/>
    <w:rsid w:val="00B877CC"/>
    <w:rsid w:val="00BA0633"/>
    <w:rsid w:val="00BA3FF6"/>
    <w:rsid w:val="00BC2F74"/>
    <w:rsid w:val="00C00641"/>
    <w:rsid w:val="00C0316D"/>
    <w:rsid w:val="00C309C2"/>
    <w:rsid w:val="00CF3BB6"/>
    <w:rsid w:val="00D378B3"/>
    <w:rsid w:val="00D66A80"/>
    <w:rsid w:val="00D84A77"/>
    <w:rsid w:val="00D87E6C"/>
    <w:rsid w:val="00DA0D37"/>
    <w:rsid w:val="00E15827"/>
    <w:rsid w:val="00E76402"/>
    <w:rsid w:val="00E80E69"/>
    <w:rsid w:val="00E91D24"/>
    <w:rsid w:val="00EC0727"/>
    <w:rsid w:val="00F21E75"/>
    <w:rsid w:val="00F467D1"/>
    <w:rsid w:val="00F6249D"/>
    <w:rsid w:val="00F85CD8"/>
    <w:rsid w:val="00FB678C"/>
    <w:rsid w:val="00FB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0049"/>
  <w15:chartTrackingRefBased/>
  <w15:docId w15:val="{7FA2F06B-0714-43E3-859C-4ECA2D92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0633"/>
    <w:pPr>
      <w:widowControl w:val="0"/>
      <w:autoSpaceDE w:val="0"/>
      <w:autoSpaceDN w:val="0"/>
    </w:pPr>
    <w:rPr>
      <w:rFonts w:ascii="Calibri" w:eastAsia="Calibri" w:hAnsi="Calibri" w:cs="Calibri"/>
      <w:sz w:val="16"/>
      <w:szCs w:val="16"/>
    </w:rPr>
  </w:style>
  <w:style w:type="character" w:customStyle="1" w:styleId="BodyTextChar">
    <w:name w:val="Body Text Char"/>
    <w:basedOn w:val="DefaultParagraphFont"/>
    <w:link w:val="BodyText"/>
    <w:uiPriority w:val="1"/>
    <w:rsid w:val="00BA0633"/>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matolog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Jacey Bochner</cp:lastModifiedBy>
  <cp:revision>2</cp:revision>
  <cp:lastPrinted>2020-11-11T19:23:00Z</cp:lastPrinted>
  <dcterms:created xsi:type="dcterms:W3CDTF">2021-10-18T22:10:00Z</dcterms:created>
  <dcterms:modified xsi:type="dcterms:W3CDTF">2021-10-18T22:10:00Z</dcterms:modified>
</cp:coreProperties>
</file>